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5CC6" w14:textId="78B7718D" w:rsidR="009825C2" w:rsidRDefault="00FE63DE" w:rsidP="00714725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سجل الشركات المعتمدة كمقدم لخدمات ال</w:t>
      </w:r>
      <w:r w:rsidR="00EA3D5D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امن السيبراني </w:t>
      </w:r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داخل جمهورية مصر العربية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850"/>
        <w:gridCol w:w="2201"/>
        <w:gridCol w:w="600"/>
      </w:tblGrid>
      <w:tr w:rsidR="00766F04" w14:paraId="1B7CD5F2" w14:textId="77777777" w:rsidTr="000B2F2F">
        <w:tc>
          <w:tcPr>
            <w:tcW w:w="2689" w:type="dxa"/>
            <w:shd w:val="clear" w:color="auto" w:fill="4472C4" w:themeFill="accent1"/>
          </w:tcPr>
          <w:p w14:paraId="331D1C7C" w14:textId="2D349E65" w:rsidR="00766F04" w:rsidRPr="000B2F2F" w:rsidRDefault="00766F04" w:rsidP="002B42A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فئات العملاء المصرح</w:t>
            </w: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7EDA8D8C" w14:textId="54AD0472" w:rsidR="00766F04" w:rsidRPr="000B2F2F" w:rsidRDefault="00766F04" w:rsidP="00EF233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49E9888D" w14:textId="47509281" w:rsidR="00766F04" w:rsidRPr="000B2F2F" w:rsidRDefault="00766F04" w:rsidP="00766F0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21751F29" w14:textId="203C71E1" w:rsidR="00766F04" w:rsidRPr="000B2F2F" w:rsidRDefault="00766F04" w:rsidP="00842A6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25391F91" w14:textId="7A42AE5C" w:rsidR="00766F04" w:rsidRPr="000B2F2F" w:rsidRDefault="00766F04" w:rsidP="002B42A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766F04" w14:paraId="0D88ED53" w14:textId="77777777" w:rsidTr="00B052D8">
        <w:trPr>
          <w:trHeight w:val="1313"/>
        </w:trPr>
        <w:tc>
          <w:tcPr>
            <w:tcW w:w="2689" w:type="dxa"/>
          </w:tcPr>
          <w:p w14:paraId="6C10A25C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253D8194" w14:textId="3517C5EB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C747237" w14:textId="27624ED0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1F285758" w14:textId="5797F386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6B351F96" w14:textId="5D485D49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009A138" w14:textId="3C2FACD6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344AF0EC" w14:textId="3DB483A5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07B8040F" w14:textId="77777777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9AB87CF" w14:textId="7AD152C3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6B562F84" w14:textId="39275DAF" w:rsidR="00CC74EA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E056DE7" w14:textId="77777777" w:rsidR="00766F04" w:rsidRDefault="00766F04" w:rsidP="00842A66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آي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سيك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للبرمجيات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وحماية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المعلومات</w:t>
            </w:r>
          </w:p>
          <w:p w14:paraId="7485FCEB" w14:textId="20AF8305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ISEC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344B2B7" w14:textId="6B27FF06" w:rsidR="00766F04" w:rsidRPr="009825C2" w:rsidRDefault="00766F04" w:rsidP="009825C2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766F04" w14:paraId="4F6034BC" w14:textId="77777777" w:rsidTr="000B2F2F">
        <w:tc>
          <w:tcPr>
            <w:tcW w:w="2689" w:type="dxa"/>
          </w:tcPr>
          <w:p w14:paraId="41E308D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3DD73D15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4F16B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90550A2" w14:textId="462713EA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3195F886" w14:textId="79B727F4" w:rsidR="00CC74EA" w:rsidRDefault="00CC74EA" w:rsidP="00AD071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</w:p>
          <w:p w14:paraId="37BCEF83" w14:textId="28277532" w:rsidR="00AD071D" w:rsidRPr="00A631C5" w:rsidRDefault="00AD071D" w:rsidP="00AD071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  <w:r w:rsidRPr="00A631C5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</w:p>
          <w:p w14:paraId="0284B268" w14:textId="28EA9364" w:rsidR="00AD071D" w:rsidRPr="00A631C5" w:rsidRDefault="00AD071D" w:rsidP="00AD071D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BF33BA1" w14:textId="690CF814" w:rsidR="00766F04" w:rsidRPr="00766F04" w:rsidRDefault="00766F04" w:rsidP="00CC4F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B29295D" w14:textId="0CBF94E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A71FF97" w14:textId="77777777" w:rsidR="00766F04" w:rsidRDefault="00766F04" w:rsidP="00266B4F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زيرو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سبلويت</w:t>
            </w:r>
          </w:p>
          <w:p w14:paraId="7D437516" w14:textId="62673332" w:rsidR="00714725" w:rsidRPr="00CC74EA" w:rsidRDefault="00714725" w:rsidP="00266B4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Zero </w:t>
            </w:r>
            <w:proofErr w:type="spellStart"/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Sploit</w:t>
            </w:r>
            <w:proofErr w:type="spellEnd"/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1FEFD8E3" w14:textId="5DB8F893" w:rsidR="00766F04" w:rsidRPr="009825C2" w:rsidRDefault="00766F04" w:rsidP="00266B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66F04" w14:paraId="5CFC0D21" w14:textId="77777777" w:rsidTr="000B2F2F">
        <w:tc>
          <w:tcPr>
            <w:tcW w:w="2689" w:type="dxa"/>
          </w:tcPr>
          <w:p w14:paraId="357E8A6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9052D4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C67ED0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38D3F9F2" w14:textId="2AFBA55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72CA89F" w14:textId="6A22CEE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6E53DD1D" w14:textId="77777777" w:rsidR="000A36D2" w:rsidRPr="00CC74EA" w:rsidRDefault="000A36D2" w:rsidP="000A36D2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6F5F8EA6" w14:textId="77777777" w:rsidR="00766F04" w:rsidRDefault="00CC74EA" w:rsidP="00CC4FA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728971A" w14:textId="074CC78F" w:rsidR="000A36D2" w:rsidRPr="00CC4FAD" w:rsidRDefault="000A36D2" w:rsidP="000A36D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6E73BD74" w14:textId="2CC0C5ED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3C450CD0" w14:textId="77777777" w:rsidR="00766F04" w:rsidRDefault="00766F04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سايبر فورس</w:t>
            </w:r>
          </w:p>
          <w:p w14:paraId="2B398049" w14:textId="400964D9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Cyber Force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7FB4111" w14:textId="462B6BC4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66F04" w14:paraId="4386F83A" w14:textId="77777777" w:rsidTr="000B2F2F">
        <w:tc>
          <w:tcPr>
            <w:tcW w:w="2689" w:type="dxa"/>
          </w:tcPr>
          <w:p w14:paraId="6BD12B4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76859B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7F06F5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4C9090AA" w14:textId="4DEC22E3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3993B1A" w14:textId="31F7CD5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87D4D74" w14:textId="1328118D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5A114277" w14:textId="0F06A82C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632FBB93" w14:textId="03361855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4A70C100" w14:textId="25F01754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2A8FB09" w14:textId="77777777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10AB641" w14:textId="6D2FC93F" w:rsidR="00766F04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24F5ADDB" w14:textId="7A75E4A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81EC268" w14:textId="77777777" w:rsidR="00766F04" w:rsidRDefault="00766F04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ليكويد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انتيليجنت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تكنولوجيز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مصر</w:t>
            </w:r>
          </w:p>
          <w:p w14:paraId="72FEB60D" w14:textId="2F150652" w:rsidR="00714725" w:rsidRPr="00714725" w:rsidRDefault="00714725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LIQUID C2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09AF3C7" w14:textId="0AD22A8E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97206E" w14:paraId="1A1DC932" w14:textId="77777777" w:rsidTr="000B2F2F">
        <w:tc>
          <w:tcPr>
            <w:tcW w:w="2689" w:type="dxa"/>
          </w:tcPr>
          <w:p w14:paraId="29213C12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7B0A354F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1AC0F6F" w14:textId="2EE2DE58" w:rsidR="0097206E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07897FB" w14:textId="6F2C985A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BEDA83B" w14:textId="34B3C22A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32E42B26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65818E2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2CBF8C44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3C9A0D6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75BAD22" w14:textId="77777777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361B639F" w14:textId="6653E9B5" w:rsidR="0097206E" w:rsidRPr="00766F04" w:rsidRDefault="0097206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22A83283" w14:textId="001B65C2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744896A1" w14:textId="647AD16C" w:rsidR="0097206E" w:rsidRPr="0097206E" w:rsidRDefault="0097206E" w:rsidP="009720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9720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Spark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kern w:val="24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سبارك للاستشارات الهندسية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30DD90D" w14:textId="29A684FD" w:rsidR="0097206E" w:rsidRPr="00C53C68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754CB08B" w14:textId="1A873C47" w:rsidR="0097206E" w:rsidRPr="009825C2" w:rsidRDefault="0097206E" w:rsidP="0097206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439FF" w14:paraId="0AA1087A" w14:textId="77777777" w:rsidTr="000B2F2F">
        <w:tc>
          <w:tcPr>
            <w:tcW w:w="2689" w:type="dxa"/>
          </w:tcPr>
          <w:p w14:paraId="18EA498F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F14A3C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DCD9CD" w14:textId="77777777" w:rsidR="005439FF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49C375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03BC5105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8E13885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034211B3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18ADA92A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93F7F62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406BC3F" w14:textId="43900B28" w:rsidR="005439FF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0808C71D" w14:textId="287C0C2C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4170C16F" w14:textId="39EBCF79" w:rsidR="005439FF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2683267B" w14:textId="5904354A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6A7CD5BA" w14:textId="4759BF14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794C6D0B" w14:textId="1EEC24E4" w:rsidR="005439FF" w:rsidRPr="00766F04" w:rsidRDefault="005439FF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4542BEF3" w14:textId="53C9A1AE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ECB95A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EAE24A8" w14:textId="77777777" w:rsidR="005439F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 شيلد للتكنولوجيا</w:t>
            </w:r>
          </w:p>
          <w:p w14:paraId="52202127" w14:textId="1C6D640E" w:rsidR="005439FF" w:rsidRPr="0035138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proofErr w:type="spellStart"/>
            <w:r w:rsidRPr="005439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Cyshield</w:t>
            </w:r>
            <w:proofErr w:type="spellEnd"/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5A4B42E" w14:textId="494527CF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439FF" w:rsidRPr="0093130F" w14:paraId="67BB8A19" w14:textId="77777777" w:rsidTr="000B2F2F">
        <w:tc>
          <w:tcPr>
            <w:tcW w:w="2689" w:type="dxa"/>
          </w:tcPr>
          <w:p w14:paraId="0870AE4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5DBCA37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BE97EB1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7AE168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5ECEF9E6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08DCE9B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1B3BFA56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66FF698A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3AFC2A24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4555D4A1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18D2F5DC" w14:textId="787DA860" w:rsidR="005439FF" w:rsidRPr="00730521" w:rsidRDefault="008C422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12535BB" w14:textId="0400413A" w:rsidR="005439FF" w:rsidRPr="00F8661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4A8F1607" w14:textId="63F1D7BB" w:rsidR="005439FF" w:rsidRDefault="00F8661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F866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أي تي فايكنجز للبرمجيات</w:t>
            </w:r>
          </w:p>
          <w:p w14:paraId="4FEE063D" w14:textId="00885440" w:rsidR="006B5FCB" w:rsidRPr="00F8661F" w:rsidRDefault="006B5FCB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IT-Viking</w:t>
            </w:r>
            <w:r w:rsidR="00F96AA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</w:t>
            </w:r>
          </w:p>
          <w:p w14:paraId="08CB09CC" w14:textId="1517BBDF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70437A66" w14:textId="7D15126D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C53C68" w14:paraId="3EB2FE45" w14:textId="77777777" w:rsidTr="003731D2">
        <w:trPr>
          <w:trHeight w:val="1691"/>
        </w:trPr>
        <w:tc>
          <w:tcPr>
            <w:tcW w:w="2689" w:type="dxa"/>
          </w:tcPr>
          <w:p w14:paraId="1D8D9401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B73A10F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DF6AD36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7B5FFEFA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0ADC26B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0244FC09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2B85A316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40CE5737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46F4A9C1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3321239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195FF0FD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10ACE12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346FE7E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45083479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C3098DA" w14:textId="399DD92B" w:rsidR="00C53C68" w:rsidRPr="00C53C68" w:rsidRDefault="00C53C68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9B9948E" w14:textId="702EBDB4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274E64B0" w14:textId="19B26DD4" w:rsidR="00C53C68" w:rsidRPr="00295060" w:rsidRDefault="00295060" w:rsidP="00A32AB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950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برق النظم للخدمات التقنية </w:t>
            </w:r>
            <w:r w:rsidRPr="002950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BARQ SYSTEMS</w:t>
            </w:r>
          </w:p>
          <w:p w14:paraId="66D1E93C" w14:textId="7F84DE3A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1DED967D" w14:textId="3A94ABB4" w:rsidR="00C53C68" w:rsidRPr="00C53C68" w:rsidRDefault="00C53C68" w:rsidP="00C53C6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8</w:t>
            </w:r>
          </w:p>
        </w:tc>
      </w:tr>
      <w:tr w:rsidR="000F31F0" w14:paraId="42109DB0" w14:textId="77777777" w:rsidTr="000B2F2F">
        <w:trPr>
          <w:trHeight w:val="1718"/>
        </w:trPr>
        <w:tc>
          <w:tcPr>
            <w:tcW w:w="2689" w:type="dxa"/>
          </w:tcPr>
          <w:p w14:paraId="30FA754D" w14:textId="045B5B21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372D8FA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7FAA5AB" w14:textId="3FC3A52E" w:rsidR="000F31F0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القطاع الخاص</w:t>
            </w:r>
          </w:p>
          <w:p w14:paraId="25B26977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328AC4A6" w14:textId="77777777" w:rsidR="000F31F0" w:rsidRPr="00766F04" w:rsidRDefault="000F31F0" w:rsidP="000F31F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B24206" w14:textId="77777777" w:rsidR="000F31F0" w:rsidRDefault="000F31F0" w:rsidP="000F31F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0A6E2C2" w14:textId="77777777" w:rsidR="000F31F0" w:rsidRPr="000F31F0" w:rsidRDefault="000F31F0" w:rsidP="000F31F0">
            <w:pPr>
              <w:bidi/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D55E6C5" w14:textId="62FC760D" w:rsidR="000F31F0" w:rsidRPr="00CC74EA" w:rsidRDefault="00730521" w:rsidP="000F31F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382F98C" w14:textId="7213352C" w:rsidR="000F31F0" w:rsidRPr="000F31F0" w:rsidRDefault="000F31F0" w:rsidP="000F31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مصر للنظم الهندسية</w:t>
            </w:r>
            <w:r w:rsidR="007569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br/>
              <w:t>SEE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22AC2B94" w14:textId="127E4960" w:rsidR="000F31F0" w:rsidRDefault="000F31F0" w:rsidP="000F31F0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9</w:t>
            </w:r>
          </w:p>
        </w:tc>
      </w:tr>
      <w:tr w:rsidR="00D9761A" w:rsidRPr="00D9761A" w14:paraId="27CA4F18" w14:textId="77777777" w:rsidTr="0097666B">
        <w:trPr>
          <w:trHeight w:val="710"/>
        </w:trPr>
        <w:tc>
          <w:tcPr>
            <w:tcW w:w="2689" w:type="dxa"/>
            <w:shd w:val="clear" w:color="auto" w:fill="4472C4" w:themeFill="accent1"/>
          </w:tcPr>
          <w:p w14:paraId="515F8379" w14:textId="726BE4EE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فئات العملاء المصرح</w:t>
            </w: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84386F5" w14:textId="4E9B9732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319D4237" w14:textId="358D25E4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79021051" w14:textId="4F2167DF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5F38F98C" w14:textId="4F9AC2F6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730521" w14:paraId="471DBBD3" w14:textId="77777777" w:rsidTr="003731D2">
        <w:trPr>
          <w:trHeight w:val="2600"/>
        </w:trPr>
        <w:tc>
          <w:tcPr>
            <w:tcW w:w="2689" w:type="dxa"/>
          </w:tcPr>
          <w:p w14:paraId="03054BED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7D3E84CE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279DE81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859DB98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09EB550E" w14:textId="77777777" w:rsidR="00730521" w:rsidRPr="00766F04" w:rsidRDefault="00730521" w:rsidP="00E81519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2F75D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 xml:space="preserve"> 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(Penetration Testing)</w:t>
            </w:r>
          </w:p>
          <w:p w14:paraId="16C92D4D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الفريق الأحمر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(Red teaming)</w:t>
            </w:r>
          </w:p>
          <w:p w14:paraId="3EDB9540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تقييم الثغرات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((Vulnerability Assessment</w:t>
            </w:r>
          </w:p>
          <w:p w14:paraId="08F98D86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(SOC)</w:t>
            </w:r>
          </w:p>
          <w:p w14:paraId="68B6F5E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 السيبرانية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(Incident Response)</w:t>
            </w:r>
          </w:p>
          <w:p w14:paraId="4E05009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(Digital Forensics)</w:t>
            </w:r>
          </w:p>
          <w:p w14:paraId="242A9F07" w14:textId="30F4F1AF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12239814" w14:textId="0BBDFE43" w:rsidR="00730521" w:rsidRPr="00730521" w:rsidRDefault="00730521" w:rsidP="00730521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4A6169A" w14:textId="77777777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 w:rsidRPr="0073052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تكنولوجيا تشغيل المنشآت المالية إي فاينانس</w:t>
            </w:r>
          </w:p>
          <w:p w14:paraId="7A8DE425" w14:textId="75B34180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e-Finance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0765814" w14:textId="60C1A37A" w:rsidR="00730521" w:rsidRDefault="00730521" w:rsidP="007305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10</w:t>
            </w:r>
          </w:p>
        </w:tc>
      </w:tr>
      <w:tr w:rsidR="00F119E3" w14:paraId="2B133D93" w14:textId="77777777" w:rsidTr="003731D2">
        <w:trPr>
          <w:trHeight w:val="1610"/>
        </w:trPr>
        <w:tc>
          <w:tcPr>
            <w:tcW w:w="2689" w:type="dxa"/>
          </w:tcPr>
          <w:p w14:paraId="01A7371B" w14:textId="4DA9AF5E" w:rsidR="00F119E3" w:rsidRPr="00F119E3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06F9BAE3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5835329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0A1A0FD2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BE43BBD" w14:textId="77777777" w:rsidR="00F119E3" w:rsidRPr="00730521" w:rsidRDefault="00F119E3" w:rsidP="00F119E3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7FFD8459" w14:textId="77777777" w:rsidR="00F119E3" w:rsidRPr="00F119E3" w:rsidRDefault="00F119E3" w:rsidP="00F119E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اختبارات الاختراق (</w:t>
            </w:r>
            <w:r w:rsidRPr="00F119E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Penetration Testing</w:t>
            </w: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46065CAF" w14:textId="77777777" w:rsidR="00F119E3" w:rsidRPr="00CD5DB7" w:rsidRDefault="00F119E3" w:rsidP="00F119E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تقييم الثغرات الأمنية (</w:t>
            </w:r>
            <w:r w:rsidRPr="00F119E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Vulnerability Assessment</w:t>
            </w: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5DD4B799" w14:textId="297337BA" w:rsidR="00CD5DB7" w:rsidRPr="00F119E3" w:rsidRDefault="00CD5DB7" w:rsidP="00CD5DB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D5DB7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الفريق الأحمر (</w:t>
            </w:r>
            <w:r w:rsidRPr="00CD5DB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Red Team</w:t>
            </w:r>
            <w:r w:rsidRPr="00CD5DB7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14:paraId="44943EAD" w14:textId="7343A235" w:rsidR="00F119E3" w:rsidRPr="00CC74EA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39814F19" w14:textId="068A3B2D" w:rsidR="00F119E3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F119E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 xml:space="preserve">شركة الحلول المتكاملة </w:t>
            </w:r>
            <w:r w:rsidR="00FE5D6F" w:rsidRPr="00F119E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للموانئ</w:t>
            </w:r>
          </w:p>
          <w:p w14:paraId="06354160" w14:textId="5C1C3F04" w:rsidR="00F119E3" w:rsidRPr="00B052D8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ISF</w:t>
            </w:r>
            <w:r w:rsidR="00CD5DB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P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419C123" w14:textId="540E208E" w:rsidR="00F119E3" w:rsidRDefault="00AB4350" w:rsidP="007305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11</w:t>
            </w:r>
          </w:p>
        </w:tc>
      </w:tr>
      <w:tr w:rsidR="009279F5" w14:paraId="1153BD2C" w14:textId="77777777" w:rsidTr="003731D2">
        <w:trPr>
          <w:trHeight w:val="1340"/>
        </w:trPr>
        <w:tc>
          <w:tcPr>
            <w:tcW w:w="2689" w:type="dxa"/>
          </w:tcPr>
          <w:p w14:paraId="40A03A01" w14:textId="77777777" w:rsidR="009279F5" w:rsidRPr="00F119E3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5DDE187F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C5E9BB3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4487FA85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643D7D4A" w14:textId="77777777" w:rsidR="009279F5" w:rsidRPr="00F119E3" w:rsidRDefault="009279F5" w:rsidP="00B052D8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7BE4D091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SOC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</w:r>
          </w:p>
          <w:p w14:paraId="14223CF2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 السيبرانية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Incident Response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</w:p>
          <w:p w14:paraId="0088C38B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تحليل الأدلة الرقمية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Digital Forensics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</w:r>
          </w:p>
          <w:p w14:paraId="25FC6257" w14:textId="19C264BE" w:rsidR="009279F5" w:rsidRPr="00F119E3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  <w:r w:rsidRPr="009A24C0">
              <w:rPr>
                <w:rFonts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50" w:type="dxa"/>
            <w:vAlign w:val="center"/>
          </w:tcPr>
          <w:p w14:paraId="5E557101" w14:textId="23FA8148" w:rsidR="009279F5" w:rsidRPr="009279F5" w:rsidRDefault="009279F5" w:rsidP="009279F5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AD0B634" w14:textId="77777777" w:rsidR="009279F5" w:rsidRDefault="009279F5" w:rsidP="009279F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سيلرت لخدمات تكنولوجيا المعلومات</w:t>
            </w:r>
          </w:p>
          <w:p w14:paraId="0EDD258F" w14:textId="343EF17A" w:rsidR="00AB4350" w:rsidRPr="00F119E3" w:rsidRDefault="00AB4350" w:rsidP="009279F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proofErr w:type="spellStart"/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Cylert</w:t>
            </w:r>
            <w:proofErr w:type="spellEnd"/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4F68B88" w14:textId="00CDB145" w:rsidR="009279F5" w:rsidRDefault="00AB4350" w:rsidP="009279F5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12</w:t>
            </w:r>
          </w:p>
        </w:tc>
      </w:tr>
      <w:tr w:rsidR="00B052D8" w14:paraId="72FD9C8A" w14:textId="77777777" w:rsidTr="003731D2">
        <w:trPr>
          <w:trHeight w:val="1160"/>
        </w:trPr>
        <w:tc>
          <w:tcPr>
            <w:tcW w:w="2689" w:type="dxa"/>
          </w:tcPr>
          <w:p w14:paraId="4ED57D7C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F3BDF9A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6FE03D0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39E53FEB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1160114" w14:textId="77777777" w:rsidR="00B052D8" w:rsidRPr="00F119E3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</w:tcPr>
          <w:p w14:paraId="2AD1EFCA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2E8F4EB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4E08C1B9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40FCB4B1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39ACC604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34354785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7B057867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BE90560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643430C8" w14:textId="77777777" w:rsidR="00B052D8" w:rsidRPr="009279F5" w:rsidRDefault="00B052D8" w:rsidP="00B052D8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14064AA" w14:textId="557FF463" w:rsidR="00B052D8" w:rsidRPr="00CC74EA" w:rsidRDefault="00B052D8" w:rsidP="00B052D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28CF62DE" w14:textId="77777777" w:rsidR="00B052D8" w:rsidRPr="00766F04" w:rsidRDefault="00B052D8" w:rsidP="00B052D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109D84" w14:textId="77777777" w:rsidR="00B052D8" w:rsidRPr="00766F04" w:rsidRDefault="00B052D8" w:rsidP="00B052D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84D1583" w14:textId="3DAFAD90" w:rsid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 xml:space="preserve">أي بي بروتوكول </w:t>
            </w:r>
          </w:p>
          <w:p w14:paraId="17A24475" w14:textId="4B5AF8EF" w:rsidR="00B052D8" w:rsidRP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IP Protocol</w:t>
            </w:r>
          </w:p>
          <w:p w14:paraId="413DCD9B" w14:textId="77777777" w:rsid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5E6298D6" w14:textId="1EBDE26D" w:rsidR="00B052D8" w:rsidRPr="00B052D8" w:rsidRDefault="00B052D8" w:rsidP="00B052D8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078E23BC" w14:textId="347E45A7" w:rsidR="00B052D8" w:rsidRDefault="00B052D8" w:rsidP="00B052D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13</w:t>
            </w:r>
          </w:p>
        </w:tc>
      </w:tr>
      <w:tr w:rsidR="00ED6E3E" w14:paraId="61940C72" w14:textId="77777777" w:rsidTr="0097666B">
        <w:trPr>
          <w:trHeight w:val="1250"/>
        </w:trPr>
        <w:tc>
          <w:tcPr>
            <w:tcW w:w="2689" w:type="dxa"/>
          </w:tcPr>
          <w:p w14:paraId="129998E2" w14:textId="77777777" w:rsidR="00ED6E3E" w:rsidRPr="00F119E3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298AC84E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C3326A3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615E0DEF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4524E07" w14:textId="77777777" w:rsidR="00ED6E3E" w:rsidRPr="00F119E3" w:rsidRDefault="00ED6E3E" w:rsidP="00C87E7E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44B64EA" w14:textId="77777777" w:rsidR="00ED6E3E" w:rsidRPr="00CC74EA" w:rsidRDefault="00ED6E3E" w:rsidP="009766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3B6B5840" w14:textId="77777777" w:rsidR="00ED6E3E" w:rsidRPr="00CC74EA" w:rsidRDefault="00ED6E3E" w:rsidP="009766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الفريق الأحمر</w:t>
            </w:r>
          </w:p>
          <w:p w14:paraId="7488363C" w14:textId="202550AA" w:rsidR="00ED6E3E" w:rsidRPr="009279F5" w:rsidRDefault="00ED6E3E" w:rsidP="00ED6E3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تقييم الثغرات الأمنية</w:t>
            </w:r>
          </w:p>
        </w:tc>
        <w:tc>
          <w:tcPr>
            <w:tcW w:w="850" w:type="dxa"/>
            <w:vAlign w:val="center"/>
          </w:tcPr>
          <w:p w14:paraId="289597E1" w14:textId="6B3F00E6" w:rsidR="00ED6E3E" w:rsidRPr="00CC74EA" w:rsidRDefault="00ED6E3E" w:rsidP="00ED6E3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DF25DF4" w14:textId="5368724D" w:rsidR="00BA2A41" w:rsidRPr="00BA2A41" w:rsidRDefault="00BA2A41" w:rsidP="00BA2A4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proofErr w:type="spellStart"/>
            <w:r w:rsidRPr="00BA2A4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بجارد</w:t>
            </w:r>
            <w:proofErr w:type="spellEnd"/>
          </w:p>
          <w:p w14:paraId="0DF064CA" w14:textId="460B2997" w:rsidR="00ED6E3E" w:rsidRDefault="00BA2A41" w:rsidP="00BA2A4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 w:rsidRPr="00BA2A4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BUGUARD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A5748E3" w14:textId="38FBD2A3" w:rsidR="00ED6E3E" w:rsidRDefault="00ED6E3E" w:rsidP="00ED6E3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14</w:t>
            </w:r>
          </w:p>
        </w:tc>
      </w:tr>
      <w:tr w:rsidR="00CD5DB7" w14:paraId="269A1278" w14:textId="77777777" w:rsidTr="003731D2">
        <w:trPr>
          <w:cantSplit/>
          <w:trHeight w:val="1745"/>
        </w:trPr>
        <w:tc>
          <w:tcPr>
            <w:tcW w:w="2689" w:type="dxa"/>
          </w:tcPr>
          <w:p w14:paraId="6B4A1E73" w14:textId="77777777" w:rsidR="00CD5DB7" w:rsidRPr="00F119E3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57F20DC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91C4DCC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DE15596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7B0C8B2A" w14:textId="77777777" w:rsidR="00CD5DB7" w:rsidRPr="00F119E3" w:rsidRDefault="00CD5DB7" w:rsidP="00CD5DB7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289D4A76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  اختبارات الاختراق (</w:t>
            </w:r>
            <w:r w:rsidRPr="00C87E7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Penetration Testing</w:t>
            </w: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353E6B15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تقييم الثغرات الأمنية (</w:t>
            </w:r>
            <w:r w:rsidRPr="00C87E7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Vulnerability Assessment</w:t>
            </w: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369ED2C8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48BDF5C" w14:textId="77777777" w:rsidR="00CD5DB7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5CE6A08F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23CF5160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15897CB5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4E2A19F1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5DD82A0E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45E2FBA3" w14:textId="1A527C83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697F7F1C" w14:textId="5B3C46FD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327C2E61" w14:textId="43D316AF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141A0E92" w14:textId="77777777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6D6B79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2B43D40D" w14:textId="2FDC747B" w:rsidR="00962209" w:rsidRP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42AD20F" w14:textId="236F4A27" w:rsidR="00CD5DB7" w:rsidRPr="00CC74EA" w:rsidRDefault="00CD5DB7" w:rsidP="00CD5DB7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0472799E" w14:textId="77777777" w:rsidR="00BE72F4" w:rsidRPr="00BE72F4" w:rsidRDefault="00BE72F4" w:rsidP="00BE72F4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BE72F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 xml:space="preserve">أي </w:t>
            </w:r>
            <w:proofErr w:type="spellStart"/>
            <w:r w:rsidRPr="00BE72F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اكسبيرتس</w:t>
            </w:r>
            <w:proofErr w:type="spellEnd"/>
          </w:p>
          <w:p w14:paraId="59C97366" w14:textId="36B04DA2" w:rsidR="00CD5DB7" w:rsidRPr="00C87E7E" w:rsidRDefault="00BE72F4" w:rsidP="00BE72F4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proofErr w:type="spellStart"/>
            <w:r w:rsidRPr="00BE72F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iExperts</w:t>
            </w:r>
            <w:proofErr w:type="spellEnd"/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205CE3C0" w14:textId="3DD16FF5" w:rsidR="00CD5DB7" w:rsidRDefault="00962209" w:rsidP="00CD5DB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15</w:t>
            </w:r>
          </w:p>
        </w:tc>
      </w:tr>
      <w:tr w:rsidR="003731D2" w:rsidRPr="003731D2" w14:paraId="3F58C3C5" w14:textId="77777777" w:rsidTr="003731D2">
        <w:trPr>
          <w:trHeight w:val="530"/>
        </w:trPr>
        <w:tc>
          <w:tcPr>
            <w:tcW w:w="2689" w:type="dxa"/>
            <w:shd w:val="clear" w:color="auto" w:fill="4472C4" w:themeFill="accent1"/>
          </w:tcPr>
          <w:p w14:paraId="0F85359A" w14:textId="18BAE2DB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فئات العملاء المصرح</w:t>
            </w: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04660FEB" w14:textId="549D98E4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5A7D5BF9" w14:textId="3CFF388C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163E42BD" w14:textId="262924E8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6D9319FC" w14:textId="1379AE27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C87E7E" w:rsidRPr="003731D2" w14:paraId="1A5AC77C" w14:textId="77777777" w:rsidTr="003731D2">
        <w:trPr>
          <w:trHeight w:val="530"/>
        </w:trPr>
        <w:tc>
          <w:tcPr>
            <w:tcW w:w="2689" w:type="dxa"/>
          </w:tcPr>
          <w:p w14:paraId="7194CAC2" w14:textId="77777777" w:rsidR="00C87E7E" w:rsidRPr="00F119E3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74337AD2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5FBBE5A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5C26A78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70A2C264" w14:textId="77777777" w:rsidR="00C87E7E" w:rsidRPr="00F119E3" w:rsidRDefault="00C87E7E" w:rsidP="00C87E7E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2086B63D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6B0A104F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7C2091D8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08880215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64C4A7C8" w14:textId="77777777" w:rsidR="00CD5DB7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765A0C9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09E8E1F2" w14:textId="77777777" w:rsidR="00D43A66" w:rsidRPr="00CC74EA" w:rsidRDefault="00D43A66" w:rsidP="00D43A66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278AB17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2F0878EE" w14:textId="7D82DDDF" w:rsidR="00C87E7E" w:rsidRPr="00CC74EA" w:rsidRDefault="00C87E7E" w:rsidP="00CD5DB7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3140D03" w14:textId="5239E306" w:rsidR="00C87E7E" w:rsidRPr="00CC74EA" w:rsidRDefault="00C87E7E" w:rsidP="00C87E7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493E450A" w14:textId="77777777" w:rsidR="00CD5DB7" w:rsidRDefault="00CD5DB7" w:rsidP="00C87E7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ي جي ار سي </w:t>
            </w:r>
          </w:p>
          <w:p w14:paraId="6C2EDD86" w14:textId="77777777" w:rsidR="00C87E7E" w:rsidRDefault="00CD5DB7" w:rsidP="00C87E7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اسكوير </w:t>
            </w:r>
          </w:p>
          <w:p w14:paraId="63442206" w14:textId="3D9B30FD" w:rsidR="00CD5DB7" w:rsidRDefault="00CD5DB7" w:rsidP="00C87E7E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IGRC 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7DA3CC9" w14:textId="62C74F68" w:rsidR="00C87E7E" w:rsidRDefault="00962209" w:rsidP="00C87E7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16</w:t>
            </w:r>
          </w:p>
        </w:tc>
      </w:tr>
      <w:tr w:rsidR="00F7686A" w14:paraId="04B770AF" w14:textId="77777777" w:rsidTr="003731D2">
        <w:trPr>
          <w:trHeight w:val="1160"/>
        </w:trPr>
        <w:tc>
          <w:tcPr>
            <w:tcW w:w="2689" w:type="dxa"/>
          </w:tcPr>
          <w:p w14:paraId="6DB3AF43" w14:textId="77777777" w:rsidR="00F7686A" w:rsidRPr="00A631C5" w:rsidRDefault="00F7686A" w:rsidP="00F7686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547141F5" w14:textId="12C36984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7FC2B00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00A4E0E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66614B9F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34E0794" w14:textId="77777777" w:rsidR="00F7686A" w:rsidRPr="00A631C5" w:rsidRDefault="00F7686A" w:rsidP="00F7686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4A2A831F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BF50EE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6349C18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38594ED" w14:textId="77777777" w:rsidR="00F7686A" w:rsidRPr="00A631C5" w:rsidRDefault="00F7686A" w:rsidP="00F7686A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6AF31F9" w14:textId="50D868A2" w:rsidR="00F7686A" w:rsidRPr="00A631C5" w:rsidRDefault="00F7686A" w:rsidP="00F7686A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31C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4A1CEA2F" w14:textId="02DBB40C" w:rsidR="00F7686A" w:rsidRPr="00A631C5" w:rsidRDefault="00F7686A" w:rsidP="00F76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A631C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أسفاليا لأعمال التوصيف </w:t>
            </w:r>
            <w:r w:rsidR="000B2F2F" w:rsidRPr="00A631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>والتحليل</w:t>
            </w:r>
            <w:r w:rsidR="000B2F2F" w:rsidRPr="00A631C5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631C5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Asfaleia</w:t>
            </w:r>
            <w:proofErr w:type="spellEnd"/>
            <w:r w:rsidRPr="00A631C5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-Tech)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250E6EA" w14:textId="71068E2B" w:rsidR="00F7686A" w:rsidRDefault="00F7686A" w:rsidP="00F7686A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17</w:t>
            </w:r>
          </w:p>
        </w:tc>
      </w:tr>
      <w:tr w:rsidR="00D43A66" w14:paraId="329BA4FB" w14:textId="77777777" w:rsidTr="003731D2">
        <w:trPr>
          <w:trHeight w:val="1160"/>
        </w:trPr>
        <w:tc>
          <w:tcPr>
            <w:tcW w:w="2689" w:type="dxa"/>
          </w:tcPr>
          <w:p w14:paraId="6EA3BC10" w14:textId="77777777" w:rsidR="00D43A66" w:rsidRPr="00A631C5" w:rsidRDefault="00D43A66" w:rsidP="00D43A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1A72A3C8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3B01EDC6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40B8EA9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A6CB90B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E85AE5A" w14:textId="77777777" w:rsidR="00D43A66" w:rsidRPr="00A631C5" w:rsidRDefault="00D43A66" w:rsidP="00D43A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003469E7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16E4458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297E9B4C" w14:textId="44D1FBA4" w:rsidR="00D43A66" w:rsidRPr="00A631C5" w:rsidRDefault="00D43A66" w:rsidP="00D43A66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9187BF6" w14:textId="089ED799" w:rsidR="00D43A66" w:rsidRPr="00A631C5" w:rsidRDefault="00D43A66" w:rsidP="00D43A66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31C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3B5885E7" w14:textId="0522643A" w:rsidR="00D43A66" w:rsidRPr="00A631C5" w:rsidRDefault="00690E1D" w:rsidP="00D43A6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فيكسد مصر للحلول الرقمية </w:t>
            </w:r>
            <w:r w:rsidR="00A90885" w:rsidRPr="00690E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>وامن</w:t>
            </w: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 المعلومات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/>
              </w:rPr>
              <w:br/>
            </w: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lang w:val="en-US"/>
              </w:rPr>
              <w:t>FEDIS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E15BA5F" w14:textId="43B0F886" w:rsidR="00D43A66" w:rsidRDefault="00E03A38" w:rsidP="00D43A66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  <w:t>18</w:t>
            </w:r>
          </w:p>
        </w:tc>
      </w:tr>
      <w:tr w:rsidR="004E204F" w14:paraId="331FA9DA" w14:textId="77777777" w:rsidTr="009D0A35">
        <w:trPr>
          <w:trHeight w:val="1160"/>
        </w:trPr>
        <w:tc>
          <w:tcPr>
            <w:tcW w:w="2689" w:type="dxa"/>
            <w:vAlign w:val="center"/>
          </w:tcPr>
          <w:p w14:paraId="3EA1FBC0" w14:textId="77777777" w:rsidR="004E204F" w:rsidRPr="00E54D1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bookmarkStart w:id="0" w:name="_GoBack" w:colFirst="0" w:colLast="4"/>
            <w:r w:rsidRPr="00E54D1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الجهات الحكومية</w:t>
            </w:r>
          </w:p>
          <w:p w14:paraId="6743BB2E" w14:textId="77777777" w:rsidR="004E204F" w:rsidRPr="00E54D1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E54D1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قطاع الأعمال</w:t>
            </w:r>
          </w:p>
          <w:p w14:paraId="2C70CA06" w14:textId="77777777" w:rsidR="004E204F" w:rsidRPr="00E54D1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E54D1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القطاع الخاص</w:t>
            </w:r>
          </w:p>
          <w:p w14:paraId="7E031ABF" w14:textId="77777777" w:rsidR="004E204F" w:rsidRPr="00E54D1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E54D1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الاتصالات المرخص لها</w:t>
            </w:r>
          </w:p>
          <w:p w14:paraId="5507250F" w14:textId="77777777" w:rsidR="004E204F" w:rsidRPr="00A631C5" w:rsidRDefault="004E204F" w:rsidP="004E204F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58261808" w14:textId="77777777" w:rsidR="004E204F" w:rsidRPr="003B1F28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3B1F2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 xml:space="preserve">خدمات مراقبة مركز العمليات </w:t>
            </w:r>
            <w:r w:rsidRPr="003B1F28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highlight w:val="yellow"/>
                <w:rtl/>
              </w:rPr>
              <w:t>الأمنية</w:t>
            </w:r>
            <w:r w:rsidRPr="003B1F2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 xml:space="preserve"> </w:t>
            </w:r>
          </w:p>
          <w:p w14:paraId="0E258A71" w14:textId="4874D47B" w:rsidR="004E204F" w:rsidRPr="00A631C5" w:rsidRDefault="004E204F" w:rsidP="004E204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3B1F2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513CCA4C" w14:textId="450849E6" w:rsidR="004E204F" w:rsidRPr="00A631C5" w:rsidRDefault="004E204F" w:rsidP="004E204F">
            <w:pPr>
              <w:jc w:val="center"/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E54D11"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242996C2" w14:textId="6A07E6E0" w:rsidR="004E204F" w:rsidRPr="00690E1D" w:rsidRDefault="004E204F" w:rsidP="004E204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3B1F28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t xml:space="preserve">الشركة المصرية لخدمات التتبع وتكنولوجيا المعلومات </w:t>
            </w:r>
            <w:r w:rsidRPr="003B1F28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ETI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A895F73" w14:textId="4C3115E9" w:rsidR="004E204F" w:rsidRDefault="004E204F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  <w:t>19</w:t>
            </w:r>
          </w:p>
        </w:tc>
      </w:tr>
      <w:tr w:rsidR="004E204F" w14:paraId="6D8FE3ED" w14:textId="77777777" w:rsidTr="009D0A35">
        <w:trPr>
          <w:trHeight w:val="1160"/>
        </w:trPr>
        <w:tc>
          <w:tcPr>
            <w:tcW w:w="2689" w:type="dxa"/>
            <w:vAlign w:val="center"/>
          </w:tcPr>
          <w:p w14:paraId="12227320" w14:textId="77777777" w:rsidR="004E204F" w:rsidRPr="00110870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110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الجهات الحكومية</w:t>
            </w:r>
          </w:p>
          <w:p w14:paraId="4EA7402E" w14:textId="77777777" w:rsidR="004E204F" w:rsidRPr="00110870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110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قطاع الأعمال</w:t>
            </w:r>
          </w:p>
          <w:p w14:paraId="01560F57" w14:textId="77777777" w:rsidR="004E204F" w:rsidRPr="00110870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110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القطاع الخاص</w:t>
            </w:r>
          </w:p>
          <w:p w14:paraId="5D971BED" w14:textId="77777777" w:rsidR="004E204F" w:rsidRPr="00110870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lang w:bidi="ar-EG"/>
              </w:rPr>
            </w:pPr>
            <w:r w:rsidRPr="00110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  <w:lang w:bidi="ar-EG"/>
              </w:rPr>
              <w:t>شركات الاتصالات المرخص لها</w:t>
            </w:r>
          </w:p>
          <w:p w14:paraId="54F42589" w14:textId="77777777" w:rsidR="004E204F" w:rsidRPr="00A631C5" w:rsidRDefault="004E204F" w:rsidP="004E204F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09172A18" w14:textId="77777777" w:rsidR="004E204F" w:rsidRPr="002B721A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خدمات مراقبة مركز العمليات الأمنية (</w:t>
            </w: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</w:rPr>
              <w:t>SOC</w:t>
            </w: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)</w:t>
            </w:r>
          </w:p>
          <w:p w14:paraId="58B6953D" w14:textId="77777777" w:rsidR="004E204F" w:rsidRPr="002B721A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B721A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highlight w:val="yellow"/>
                <w:rtl/>
              </w:rPr>
              <w:t xml:space="preserve">خدمات </w:t>
            </w: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 xml:space="preserve">الاستجابة للحوادث </w:t>
            </w:r>
            <w:proofErr w:type="spellStart"/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السيبرانية</w:t>
            </w:r>
            <w:proofErr w:type="spellEnd"/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 xml:space="preserve"> (</w:t>
            </w: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</w:rPr>
              <w:t>Incident Response</w:t>
            </w: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)</w:t>
            </w:r>
          </w:p>
          <w:p w14:paraId="3550D29C" w14:textId="6F8819AD" w:rsidR="004E204F" w:rsidRPr="00A631C5" w:rsidRDefault="004E204F" w:rsidP="004E204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 xml:space="preserve">خدمات الحلول المتكاملة </w:t>
            </w:r>
            <w:proofErr w:type="gramStart"/>
            <w:r w:rsidRPr="002B721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highlight w:val="yellow"/>
                <w:rtl/>
              </w:rPr>
              <w:t>و الاستشارية</w:t>
            </w:r>
            <w:proofErr w:type="gramEnd"/>
          </w:p>
        </w:tc>
        <w:tc>
          <w:tcPr>
            <w:tcW w:w="850" w:type="dxa"/>
            <w:vAlign w:val="center"/>
          </w:tcPr>
          <w:p w14:paraId="78AC7C57" w14:textId="534DFDDA" w:rsidR="004E204F" w:rsidRPr="00A631C5" w:rsidRDefault="004E204F" w:rsidP="004E204F">
            <w:pPr>
              <w:jc w:val="center"/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E54D11">
              <w:rPr>
                <w:rFonts w:asciiTheme="majorBidi" w:hAnsiTheme="majorBidi" w:cs="Times New Roman" w:hint="cs"/>
                <w:b/>
                <w:bCs/>
                <w:sz w:val="24"/>
                <w:szCs w:val="24"/>
                <w:highlight w:val="yellow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0C2B155D" w14:textId="721085B5" w:rsidR="004E204F" w:rsidRPr="00690E1D" w:rsidRDefault="004E204F" w:rsidP="004E204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t>لينك داتا سنتر لتداول البيانات</w:t>
            </w: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  <w:rtl/>
                <w:lang w:val="en-US"/>
              </w:rPr>
              <w:br/>
            </w:r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 xml:space="preserve">Link Data </w:t>
            </w:r>
            <w:proofErr w:type="spellStart"/>
            <w:r w:rsidRPr="009C7012">
              <w:rPr>
                <w:rFonts w:asciiTheme="minorBidi" w:hAnsiTheme="minorBidi" w:cs="Arial"/>
                <w:b/>
                <w:bCs/>
                <w:sz w:val="28"/>
                <w:szCs w:val="28"/>
                <w:highlight w:val="yellow"/>
              </w:rPr>
              <w:t>Center</w:t>
            </w:r>
            <w:proofErr w:type="spellEnd"/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BDF38B8" w14:textId="7EE67812" w:rsidR="004E204F" w:rsidRDefault="004E204F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  <w:t>20</w:t>
            </w:r>
          </w:p>
        </w:tc>
      </w:tr>
      <w:bookmarkEnd w:id="0"/>
    </w:tbl>
    <w:p w14:paraId="77D1F9E5" w14:textId="61D2D920" w:rsidR="00FE63DE" w:rsidRPr="00351BEF" w:rsidRDefault="00FE63DE" w:rsidP="00351BEF">
      <w:pPr>
        <w:tabs>
          <w:tab w:val="left" w:pos="2895"/>
        </w:tabs>
        <w:rPr>
          <w:sz w:val="32"/>
          <w:szCs w:val="32"/>
          <w:lang w:bidi="ar-EG"/>
        </w:rPr>
      </w:pPr>
    </w:p>
    <w:sectPr w:rsidR="00FE63DE" w:rsidRPr="00351BEF" w:rsidSect="00FD6AF1">
      <w:headerReference w:type="default" r:id="rId8"/>
      <w:pgSz w:w="11906" w:h="16838" w:code="9"/>
      <w:pgMar w:top="1440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542C" w14:textId="77777777" w:rsidR="005376CC" w:rsidRDefault="005376CC" w:rsidP="00D074CE">
      <w:pPr>
        <w:spacing w:after="0" w:line="240" w:lineRule="auto"/>
      </w:pPr>
      <w:r>
        <w:separator/>
      </w:r>
    </w:p>
  </w:endnote>
  <w:endnote w:type="continuationSeparator" w:id="0">
    <w:p w14:paraId="5CEDD9E0" w14:textId="77777777" w:rsidR="005376CC" w:rsidRDefault="005376CC" w:rsidP="00D0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8C4A7" w14:textId="77777777" w:rsidR="005376CC" w:rsidRDefault="005376CC" w:rsidP="00D074CE">
      <w:pPr>
        <w:spacing w:after="0" w:line="240" w:lineRule="auto"/>
      </w:pPr>
      <w:r>
        <w:separator/>
      </w:r>
    </w:p>
  </w:footnote>
  <w:footnote w:type="continuationSeparator" w:id="0">
    <w:p w14:paraId="6F68F878" w14:textId="77777777" w:rsidR="005376CC" w:rsidRDefault="005376CC" w:rsidP="00D0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62BB" w14:textId="69707F19" w:rsidR="00D074CE" w:rsidRDefault="009825C2">
    <w:pPr>
      <w:pStyle w:val="Header"/>
      <w:rPr>
        <w:rtl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4B45FF8" wp14:editId="61DF8AAA">
          <wp:simplePos x="0" y="0"/>
          <wp:positionH relativeFrom="column">
            <wp:posOffset>1828800</wp:posOffset>
          </wp:positionH>
          <wp:positionV relativeFrom="paragraph">
            <wp:posOffset>7620</wp:posOffset>
          </wp:positionV>
          <wp:extent cx="2137410" cy="800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9DABFF" w14:textId="2743A728" w:rsidR="00D074CE" w:rsidRDefault="00D074CE" w:rsidP="00D074CE">
    <w:pPr>
      <w:pStyle w:val="Header"/>
      <w:tabs>
        <w:tab w:val="clear" w:pos="9026"/>
      </w:tabs>
      <w:rPr>
        <w:rtl/>
      </w:rPr>
    </w:pPr>
    <w:r>
      <w:tab/>
    </w:r>
  </w:p>
  <w:p w14:paraId="740F7DC0" w14:textId="11582CDC" w:rsidR="00D074CE" w:rsidRDefault="00D074CE" w:rsidP="00D074CE">
    <w:pPr>
      <w:pStyle w:val="Header"/>
      <w:tabs>
        <w:tab w:val="clear" w:pos="9026"/>
      </w:tabs>
      <w:rPr>
        <w:rtl/>
      </w:rPr>
    </w:pPr>
  </w:p>
  <w:p w14:paraId="7EBD9C01" w14:textId="5C2FD85E" w:rsidR="00D074CE" w:rsidRDefault="000B2F2F" w:rsidP="000B2F2F">
    <w:pPr>
      <w:pStyle w:val="Header"/>
      <w:tabs>
        <w:tab w:val="clear" w:pos="4513"/>
        <w:tab w:val="clear" w:pos="9026"/>
        <w:tab w:val="left" w:pos="3825"/>
      </w:tabs>
      <w:rPr>
        <w:rtl/>
      </w:rPr>
    </w:pPr>
    <w:r>
      <w:tab/>
    </w:r>
  </w:p>
  <w:p w14:paraId="469E6ABB" w14:textId="0D9A8136" w:rsidR="00D074CE" w:rsidRDefault="009825C2" w:rsidP="00D074CE">
    <w:pPr>
      <w:pStyle w:val="Header"/>
      <w:tabs>
        <w:tab w:val="clear" w:pos="9026"/>
      </w:tabs>
    </w:pPr>
    <w:r>
      <w:rPr>
        <w:rFonts w:hint="cs"/>
        <w:rtl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5A9"/>
    <w:multiLevelType w:val="hybridMultilevel"/>
    <w:tmpl w:val="BE12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CE5"/>
    <w:multiLevelType w:val="hybridMultilevel"/>
    <w:tmpl w:val="0CE8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246F"/>
    <w:multiLevelType w:val="hybridMultilevel"/>
    <w:tmpl w:val="BEEA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011C"/>
    <w:multiLevelType w:val="hybridMultilevel"/>
    <w:tmpl w:val="7F58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0608D"/>
    <w:multiLevelType w:val="hybridMultilevel"/>
    <w:tmpl w:val="94B0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0AD7"/>
    <w:multiLevelType w:val="hybridMultilevel"/>
    <w:tmpl w:val="A6661D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4B2"/>
    <w:multiLevelType w:val="hybridMultilevel"/>
    <w:tmpl w:val="8CE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7"/>
    <w:rsid w:val="00045ABF"/>
    <w:rsid w:val="00094AAA"/>
    <w:rsid w:val="000A36D2"/>
    <w:rsid w:val="000B2F2F"/>
    <w:rsid w:val="000C3591"/>
    <w:rsid w:val="000C58D4"/>
    <w:rsid w:val="000E0A37"/>
    <w:rsid w:val="000F31F0"/>
    <w:rsid w:val="0016570B"/>
    <w:rsid w:val="001C6FBC"/>
    <w:rsid w:val="00266B4F"/>
    <w:rsid w:val="00295060"/>
    <w:rsid w:val="002B42A7"/>
    <w:rsid w:val="00351384"/>
    <w:rsid w:val="00351BEF"/>
    <w:rsid w:val="00357886"/>
    <w:rsid w:val="003731D2"/>
    <w:rsid w:val="00373B07"/>
    <w:rsid w:val="00400E8C"/>
    <w:rsid w:val="00404BE9"/>
    <w:rsid w:val="004116EA"/>
    <w:rsid w:val="00434AA0"/>
    <w:rsid w:val="004C3E44"/>
    <w:rsid w:val="004D08B6"/>
    <w:rsid w:val="004D7C15"/>
    <w:rsid w:val="004E204F"/>
    <w:rsid w:val="005376CC"/>
    <w:rsid w:val="005439FF"/>
    <w:rsid w:val="005703B6"/>
    <w:rsid w:val="00636226"/>
    <w:rsid w:val="00690E1D"/>
    <w:rsid w:val="006A0A33"/>
    <w:rsid w:val="006B5FCB"/>
    <w:rsid w:val="00714725"/>
    <w:rsid w:val="00730521"/>
    <w:rsid w:val="007569D9"/>
    <w:rsid w:val="00766F04"/>
    <w:rsid w:val="007A50A1"/>
    <w:rsid w:val="00821C4F"/>
    <w:rsid w:val="00842A66"/>
    <w:rsid w:val="008A5BB9"/>
    <w:rsid w:val="008C422E"/>
    <w:rsid w:val="009279F5"/>
    <w:rsid w:val="0093130F"/>
    <w:rsid w:val="00962209"/>
    <w:rsid w:val="0097206E"/>
    <w:rsid w:val="0097666B"/>
    <w:rsid w:val="009825C2"/>
    <w:rsid w:val="00A32AB7"/>
    <w:rsid w:val="00A631C5"/>
    <w:rsid w:val="00A90885"/>
    <w:rsid w:val="00AB4350"/>
    <w:rsid w:val="00AD071D"/>
    <w:rsid w:val="00B052D8"/>
    <w:rsid w:val="00BA2A41"/>
    <w:rsid w:val="00BD55B9"/>
    <w:rsid w:val="00BE72F4"/>
    <w:rsid w:val="00BF6592"/>
    <w:rsid w:val="00C53C68"/>
    <w:rsid w:val="00C87E7E"/>
    <w:rsid w:val="00CC4FAD"/>
    <w:rsid w:val="00CC74EA"/>
    <w:rsid w:val="00CD5DB7"/>
    <w:rsid w:val="00D0513C"/>
    <w:rsid w:val="00D074CE"/>
    <w:rsid w:val="00D43A66"/>
    <w:rsid w:val="00D817CA"/>
    <w:rsid w:val="00D9761A"/>
    <w:rsid w:val="00E03A38"/>
    <w:rsid w:val="00E54D11"/>
    <w:rsid w:val="00E81519"/>
    <w:rsid w:val="00EA3D5D"/>
    <w:rsid w:val="00EC6E96"/>
    <w:rsid w:val="00ED6E3E"/>
    <w:rsid w:val="00EF2331"/>
    <w:rsid w:val="00F10E1A"/>
    <w:rsid w:val="00F119E3"/>
    <w:rsid w:val="00F3028D"/>
    <w:rsid w:val="00F7686A"/>
    <w:rsid w:val="00F8661F"/>
    <w:rsid w:val="00F96AAB"/>
    <w:rsid w:val="00FD6AF1"/>
    <w:rsid w:val="00FE5D6F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6A3A66"/>
  <w15:chartTrackingRefBased/>
  <w15:docId w15:val="{0B6D649F-045F-490F-89FC-308D4F4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CE"/>
  </w:style>
  <w:style w:type="paragraph" w:styleId="Footer">
    <w:name w:val="footer"/>
    <w:basedOn w:val="Normal"/>
    <w:link w:val="Foot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CE"/>
  </w:style>
  <w:style w:type="paragraph" w:styleId="ListParagraph">
    <w:name w:val="List Paragraph"/>
    <w:basedOn w:val="Normal"/>
    <w:uiPriority w:val="34"/>
    <w:qFormat/>
    <w:rsid w:val="00FD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F34C-52E1-4345-AA55-1149B35B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4921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Abo Daif</dc:creator>
  <cp:keywords/>
  <dc:description/>
  <cp:lastModifiedBy>Zyad Abdallah Mohamed</cp:lastModifiedBy>
  <cp:revision>2</cp:revision>
  <cp:lastPrinted>2025-07-07T11:42:00Z</cp:lastPrinted>
  <dcterms:created xsi:type="dcterms:W3CDTF">2026-04-06T12:57:00Z</dcterms:created>
  <dcterms:modified xsi:type="dcterms:W3CDTF">2026-04-06T12:57:00Z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12c442da-37b9-41aa-a9ee-3dd12192be8d</vt:lpwstr>
  </property>
</Properties>
</file>